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33109" w14:textId="77777777" w:rsidR="0094543B" w:rsidRDefault="008621C6">
      <w:pPr>
        <w:pBdr>
          <w:top w:val="single" w:sz="4" w:space="1" w:color="000000"/>
          <w:bottom w:val="single" w:sz="4" w:space="1" w:color="000000"/>
        </w:pBdr>
        <w:shd w:val="clear" w:color="auto" w:fill="262626"/>
        <w:jc w:val="center"/>
        <w:rPr>
          <w:b/>
          <w:smallCaps/>
        </w:rPr>
      </w:pPr>
      <w:r>
        <w:rPr>
          <w:b/>
          <w:smallCaps/>
        </w:rPr>
        <w:t>Instructions</w:t>
      </w:r>
    </w:p>
    <w:p w14:paraId="7F8CF624" w14:textId="77777777" w:rsidR="0094543B" w:rsidRDefault="008621C6">
      <w:pPr>
        <w:pBdr>
          <w:bottom w:val="single" w:sz="4" w:space="1" w:color="000000"/>
        </w:pBdr>
      </w:pPr>
      <w:r>
        <w:t xml:space="preserve">Please supply requested information in the blue-shaded areas and indicate any attachments that have been included.  Where appropriate, supporting documentation may be referenced by specific page and/or paragraph number(s). </w:t>
      </w:r>
    </w:p>
    <w:p w14:paraId="5DCBB50B" w14:textId="77777777" w:rsidR="0094543B" w:rsidRDefault="0094543B">
      <w:pPr>
        <w:pBdr>
          <w:bottom w:val="single" w:sz="4" w:space="1" w:color="000000"/>
        </w:pBdr>
      </w:pPr>
    </w:p>
    <w:p w14:paraId="6AED4B79" w14:textId="77777777" w:rsidR="0094543B" w:rsidRDefault="008621C6">
      <w:pPr>
        <w:pBdr>
          <w:bottom w:val="single" w:sz="4" w:space="1" w:color="000000"/>
        </w:pBdr>
        <w:rPr>
          <w:b/>
        </w:rPr>
      </w:pPr>
      <w:r>
        <w:rPr>
          <w:b/>
        </w:rPr>
        <w:t>If any of this response contains confidential information, as defined by IC 5-14-3, provide a separate redacted (for public release) version of this document.  Specify which statutory exception of APRA applies and provide a description explaining the manner in which the statutory exception to the APRA applies.</w:t>
      </w:r>
    </w:p>
    <w:p w14:paraId="2C75510D" w14:textId="77777777" w:rsidR="0094543B" w:rsidRDefault="0094543B">
      <w:pPr>
        <w:rPr>
          <w:b/>
          <w:smallCaps/>
          <w:color w:val="000000"/>
        </w:rPr>
      </w:pPr>
    </w:p>
    <w:p w14:paraId="2BB32F5F" w14:textId="77777777" w:rsidR="0094543B" w:rsidRDefault="008621C6">
      <w:pPr>
        <w:rPr>
          <w:b/>
          <w:smallCaps/>
          <w:color w:val="000000"/>
        </w:rPr>
      </w:pPr>
      <w:r>
        <w:rPr>
          <w:b/>
          <w:smallCaps/>
          <w:color w:val="000000"/>
          <w:u w:val="single"/>
        </w:rPr>
        <w:t>Respondent Name</w:t>
      </w:r>
      <w:r>
        <w:rPr>
          <w:b/>
          <w:smallCaps/>
          <w:color w:val="000000"/>
        </w:rPr>
        <w:t>: Mainline Information Systems, Inc.</w:t>
      </w:r>
    </w:p>
    <w:p w14:paraId="5A944A6B" w14:textId="77777777" w:rsidR="002506BF" w:rsidRDefault="002506BF" w:rsidP="002506BF">
      <w:pPr>
        <w:pBdr>
          <w:top w:val="nil"/>
          <w:left w:val="nil"/>
          <w:bottom w:val="nil"/>
          <w:right w:val="nil"/>
          <w:between w:val="nil"/>
        </w:pBdr>
        <w:tabs>
          <w:tab w:val="center" w:pos="4680"/>
          <w:tab w:val="right" w:pos="9360"/>
        </w:tabs>
        <w:rPr>
          <w:b/>
          <w:bCs/>
          <w:u w:val="single"/>
        </w:rPr>
      </w:pPr>
    </w:p>
    <w:tbl>
      <w:tblPr>
        <w:tblStyle w:val="a0"/>
        <w:tblW w:w="14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90"/>
        <w:gridCol w:w="6210"/>
        <w:gridCol w:w="6295"/>
      </w:tblGrid>
      <w:tr w:rsidR="00347A75" w14:paraId="3946B916" w14:textId="77777777" w:rsidTr="00007106">
        <w:trPr>
          <w:tblHeader/>
        </w:trPr>
        <w:tc>
          <w:tcPr>
            <w:tcW w:w="14395" w:type="dxa"/>
            <w:gridSpan w:val="3"/>
            <w:tcBorders>
              <w:top w:val="nil"/>
              <w:left w:val="nil"/>
              <w:bottom w:val="single" w:sz="4" w:space="0" w:color="000000"/>
              <w:right w:val="nil"/>
            </w:tcBorders>
            <w:shd w:val="clear" w:color="auto" w:fill="FFFFFF"/>
            <w:vAlign w:val="center"/>
          </w:tcPr>
          <w:p w14:paraId="7153DCB3" w14:textId="4051E746" w:rsidR="00347A75" w:rsidRDefault="00347A75" w:rsidP="00007106">
            <w:pPr>
              <w:rPr>
                <w:b/>
                <w:smallCaps/>
                <w:color w:val="000000"/>
              </w:rPr>
            </w:pPr>
            <w:r>
              <w:rPr>
                <w:b/>
                <w:smallCaps/>
                <w:color w:val="000000"/>
              </w:rPr>
              <w:t>Attachment F – Technical Proposal</w:t>
            </w:r>
          </w:p>
        </w:tc>
      </w:tr>
      <w:tr w:rsidR="00347A75" w14:paraId="4AAE7ED0" w14:textId="77777777" w:rsidTr="00007106">
        <w:trPr>
          <w:trHeight w:val="485"/>
          <w:tblHeader/>
        </w:trPr>
        <w:tc>
          <w:tcPr>
            <w:tcW w:w="1890" w:type="dxa"/>
            <w:tcBorders>
              <w:top w:val="single" w:sz="4" w:space="0" w:color="000000"/>
              <w:bottom w:val="single" w:sz="4" w:space="0" w:color="000000"/>
            </w:tcBorders>
            <w:shd w:val="clear" w:color="auto" w:fill="262626"/>
            <w:vAlign w:val="center"/>
          </w:tcPr>
          <w:sdt>
            <w:sdtPr>
              <w:tag w:val="goog_rdk_1"/>
              <w:id w:val="1308200753"/>
            </w:sdtPr>
            <w:sdtEndPr/>
            <w:sdtContent>
              <w:p w14:paraId="693756C8" w14:textId="77777777" w:rsidR="00347A75" w:rsidRPr="00035D6D" w:rsidRDefault="00523199" w:rsidP="00007106">
                <w:pPr>
                  <w:jc w:val="center"/>
                  <w:rPr>
                    <w:b/>
                    <w:smallCaps/>
                    <w:color w:val="FFFFFF"/>
                  </w:rPr>
                </w:pPr>
                <w:sdt>
                  <w:sdtPr>
                    <w:tag w:val="goog_rdk_0"/>
                    <w:id w:val="-1547519968"/>
                  </w:sdtPr>
                  <w:sdtEndPr/>
                  <w:sdtContent>
                    <w:r w:rsidR="00347A75" w:rsidRPr="00035D6D">
                      <w:rPr>
                        <w:b/>
                        <w:smallCaps/>
                        <w:color w:val="FFFFFF"/>
                      </w:rPr>
                      <w:t>Section Number</w:t>
                    </w:r>
                  </w:sdtContent>
                </w:sdt>
              </w:p>
            </w:sdtContent>
          </w:sdt>
        </w:tc>
        <w:tc>
          <w:tcPr>
            <w:tcW w:w="6210" w:type="dxa"/>
            <w:tcBorders>
              <w:top w:val="single" w:sz="4" w:space="0" w:color="000000"/>
              <w:bottom w:val="single" w:sz="4" w:space="0" w:color="000000"/>
            </w:tcBorders>
            <w:shd w:val="clear" w:color="auto" w:fill="262626"/>
            <w:vAlign w:val="center"/>
          </w:tcPr>
          <w:sdt>
            <w:sdtPr>
              <w:tag w:val="goog_rdk_3"/>
              <w:id w:val="82120562"/>
            </w:sdtPr>
            <w:sdtEndPr/>
            <w:sdtContent>
              <w:p w14:paraId="0B09360A" w14:textId="77777777" w:rsidR="00347A75" w:rsidRPr="00035D6D" w:rsidRDefault="00523199" w:rsidP="00007106">
                <w:pPr>
                  <w:jc w:val="center"/>
                  <w:rPr>
                    <w:b/>
                    <w:smallCaps/>
                    <w:color w:val="FFFFFF"/>
                  </w:rPr>
                </w:pPr>
                <w:sdt>
                  <w:sdtPr>
                    <w:tag w:val="goog_rdk_2"/>
                    <w:id w:val="-876773329"/>
                  </w:sdtPr>
                  <w:sdtEndPr/>
                  <w:sdtContent>
                    <w:r w:rsidR="00347A75" w:rsidRPr="00035D6D">
                      <w:rPr>
                        <w:b/>
                        <w:smallCaps/>
                        <w:color w:val="FFFFFF"/>
                      </w:rPr>
                      <w:t>Clarification Question</w:t>
                    </w:r>
                  </w:sdtContent>
                </w:sdt>
              </w:p>
            </w:sdtContent>
          </w:sdt>
        </w:tc>
        <w:tc>
          <w:tcPr>
            <w:tcW w:w="6295" w:type="dxa"/>
            <w:tcBorders>
              <w:top w:val="single" w:sz="4" w:space="0" w:color="000000"/>
              <w:bottom w:val="single" w:sz="4" w:space="0" w:color="000000"/>
            </w:tcBorders>
            <w:shd w:val="clear" w:color="auto" w:fill="262626"/>
            <w:vAlign w:val="center"/>
          </w:tcPr>
          <w:p w14:paraId="7B6AC903" w14:textId="77777777" w:rsidR="00347A75" w:rsidRDefault="00347A75" w:rsidP="00007106">
            <w:pPr>
              <w:jc w:val="center"/>
              <w:rPr>
                <w:b/>
                <w:smallCaps/>
              </w:rPr>
            </w:pPr>
            <w:r>
              <w:rPr>
                <w:b/>
                <w:smallCaps/>
              </w:rPr>
              <w:t>Respondent Response</w:t>
            </w:r>
          </w:p>
        </w:tc>
      </w:tr>
      <w:tr w:rsidR="006E1CC4" w14:paraId="7840879F" w14:textId="77777777" w:rsidTr="00007106">
        <w:trPr>
          <w:trHeight w:val="432"/>
        </w:trPr>
        <w:tc>
          <w:tcPr>
            <w:tcW w:w="1890" w:type="dxa"/>
            <w:tcBorders>
              <w:top w:val="single" w:sz="4" w:space="0" w:color="000000"/>
              <w:bottom w:val="single" w:sz="4" w:space="0" w:color="000000"/>
            </w:tcBorders>
          </w:tcPr>
          <w:p w14:paraId="79230757" w14:textId="15A0C77F" w:rsidR="006E1CC4" w:rsidRDefault="006E1CC4" w:rsidP="00007106">
            <w:pPr>
              <w:jc w:val="center"/>
            </w:pPr>
            <w:r>
              <w:t>V</w:t>
            </w:r>
            <w:r w:rsidR="000D1E06">
              <w:t>I</w:t>
            </w:r>
            <w:r>
              <w:t>I. Staffing and System Maintenance and Operations (M&amp;O)</w:t>
            </w:r>
          </w:p>
        </w:tc>
        <w:tc>
          <w:tcPr>
            <w:tcW w:w="6210" w:type="dxa"/>
            <w:tcBorders>
              <w:top w:val="single" w:sz="4" w:space="0" w:color="000000"/>
              <w:bottom w:val="single" w:sz="4" w:space="0" w:color="000000"/>
            </w:tcBorders>
            <w:vAlign w:val="center"/>
          </w:tcPr>
          <w:p w14:paraId="4FDD8CF1" w14:textId="5F4DCAF6" w:rsidR="006E1CC4" w:rsidRDefault="00415FEF" w:rsidP="00007106">
            <w:r>
              <w:t xml:space="preserve">Please </w:t>
            </w:r>
            <w:r w:rsidR="000A46EA">
              <w:t>clarify</w:t>
            </w:r>
            <w:r>
              <w:t xml:space="preserve"> </w:t>
            </w:r>
            <w:r w:rsidR="00B06703">
              <w:t>how</w:t>
            </w:r>
            <w:r>
              <w:t xml:space="preserve"> the proposed warranty</w:t>
            </w:r>
            <w:r w:rsidR="000A46EA">
              <w:t xml:space="preserve"> will apply when the State renews the subscription</w:t>
            </w:r>
            <w:r>
              <w:t xml:space="preserve"> after the conclusion of the first year, including what is and not covered</w:t>
            </w:r>
            <w:r w:rsidR="00B06703">
              <w:t xml:space="preserve"> under the warranty</w:t>
            </w:r>
            <w:r>
              <w:t xml:space="preserve"> and </w:t>
            </w:r>
            <w:r w:rsidR="00B06703">
              <w:t xml:space="preserve">any </w:t>
            </w:r>
            <w:r>
              <w:t>additional costs</w:t>
            </w:r>
            <w:r w:rsidR="00B06703">
              <w:t>.</w:t>
            </w:r>
          </w:p>
        </w:tc>
        <w:tc>
          <w:tcPr>
            <w:tcW w:w="6295" w:type="dxa"/>
            <w:tcBorders>
              <w:top w:val="single" w:sz="4" w:space="0" w:color="000000"/>
              <w:bottom w:val="single" w:sz="4" w:space="0" w:color="000000"/>
            </w:tcBorders>
            <w:shd w:val="clear" w:color="auto" w:fill="DEEBF6"/>
          </w:tcPr>
          <w:p w14:paraId="0174C89B" w14:textId="77777777" w:rsidR="006E1CC4" w:rsidRDefault="006E1CC4" w:rsidP="00007106"/>
        </w:tc>
      </w:tr>
      <w:tr w:rsidR="006C5651" w14:paraId="30ECBFA3" w14:textId="77777777" w:rsidTr="00754581">
        <w:trPr>
          <w:trHeight w:val="432"/>
        </w:trPr>
        <w:tc>
          <w:tcPr>
            <w:tcW w:w="1890" w:type="dxa"/>
            <w:tcBorders>
              <w:top w:val="single" w:sz="4" w:space="0" w:color="000000"/>
              <w:bottom w:val="single" w:sz="4" w:space="0" w:color="000000"/>
            </w:tcBorders>
            <w:vAlign w:val="center"/>
          </w:tcPr>
          <w:p w14:paraId="4D7CD703" w14:textId="5F741A98" w:rsidR="006C5651" w:rsidRDefault="000D1E06" w:rsidP="00754581">
            <w:pPr>
              <w:jc w:val="center"/>
            </w:pPr>
            <w:r>
              <w:t>VIII. Business Continuity and Disaster Recovery</w:t>
            </w:r>
          </w:p>
        </w:tc>
        <w:tc>
          <w:tcPr>
            <w:tcW w:w="6210" w:type="dxa"/>
            <w:tcBorders>
              <w:top w:val="single" w:sz="4" w:space="0" w:color="000000"/>
              <w:bottom w:val="single" w:sz="4" w:space="0" w:color="000000"/>
            </w:tcBorders>
            <w:vAlign w:val="center"/>
          </w:tcPr>
          <w:p w14:paraId="49516CCD" w14:textId="4E874272" w:rsidR="006C5651" w:rsidRDefault="00B06703" w:rsidP="00007106">
            <w:r>
              <w:t>During implementation, please clarify h</w:t>
            </w:r>
            <w:r w:rsidR="00754581">
              <w:t xml:space="preserve">ow will the Respondent assist the State in developing the architecture for disaster recovery?  </w:t>
            </w:r>
          </w:p>
        </w:tc>
        <w:tc>
          <w:tcPr>
            <w:tcW w:w="6295" w:type="dxa"/>
            <w:tcBorders>
              <w:top w:val="single" w:sz="4" w:space="0" w:color="000000"/>
              <w:bottom w:val="single" w:sz="4" w:space="0" w:color="000000"/>
            </w:tcBorders>
            <w:shd w:val="clear" w:color="auto" w:fill="DEEBF6"/>
          </w:tcPr>
          <w:p w14:paraId="53C7BEBA" w14:textId="77777777" w:rsidR="006C5651" w:rsidRDefault="006C5651" w:rsidP="00007106"/>
        </w:tc>
      </w:tr>
      <w:tr w:rsidR="00B06703" w14:paraId="1AEB2DB5" w14:textId="77777777" w:rsidTr="00754581">
        <w:trPr>
          <w:trHeight w:val="432"/>
        </w:trPr>
        <w:tc>
          <w:tcPr>
            <w:tcW w:w="1890" w:type="dxa"/>
            <w:tcBorders>
              <w:top w:val="single" w:sz="4" w:space="0" w:color="000000"/>
              <w:bottom w:val="single" w:sz="4" w:space="0" w:color="000000"/>
            </w:tcBorders>
            <w:vAlign w:val="center"/>
          </w:tcPr>
          <w:p w14:paraId="5B7B224A" w14:textId="1B6D625C" w:rsidR="00B06703" w:rsidRDefault="00B06703" w:rsidP="00754581">
            <w:pPr>
              <w:jc w:val="center"/>
            </w:pPr>
            <w:r>
              <w:t>VIII. Business Continuity and Disaster Recovery</w:t>
            </w:r>
          </w:p>
        </w:tc>
        <w:tc>
          <w:tcPr>
            <w:tcW w:w="6210" w:type="dxa"/>
            <w:tcBorders>
              <w:top w:val="single" w:sz="4" w:space="0" w:color="000000"/>
              <w:bottom w:val="single" w:sz="4" w:space="0" w:color="000000"/>
            </w:tcBorders>
            <w:vAlign w:val="center"/>
          </w:tcPr>
          <w:p w14:paraId="1DDF4BB3" w14:textId="7ECE55E2" w:rsidR="00B06703" w:rsidRDefault="00B06703" w:rsidP="00007106">
            <w:r>
              <w:t>In the instance of a disaster recovery event, will the State contact Mainline or BMC?  Which entity will be responsible for assisting the State?  In the event the application fails to load, what is the Respondent’s proposed support strategy?</w:t>
            </w:r>
          </w:p>
        </w:tc>
        <w:tc>
          <w:tcPr>
            <w:tcW w:w="6295" w:type="dxa"/>
            <w:tcBorders>
              <w:top w:val="single" w:sz="4" w:space="0" w:color="000000"/>
              <w:bottom w:val="single" w:sz="4" w:space="0" w:color="000000"/>
            </w:tcBorders>
            <w:shd w:val="clear" w:color="auto" w:fill="DEEBF6"/>
          </w:tcPr>
          <w:p w14:paraId="1A67CB33" w14:textId="77777777" w:rsidR="00B06703" w:rsidRDefault="00B06703" w:rsidP="00007106"/>
        </w:tc>
      </w:tr>
    </w:tbl>
    <w:p w14:paraId="639CF711" w14:textId="77777777" w:rsidR="0094543B" w:rsidRPr="00347A75" w:rsidRDefault="0094543B" w:rsidP="009905F8">
      <w:pPr>
        <w:rPr>
          <w:b/>
          <w:iCs/>
          <w:smallCaps/>
        </w:rPr>
      </w:pPr>
    </w:p>
    <w:sectPr w:rsidR="0094543B" w:rsidRPr="00347A75">
      <w:headerReference w:type="default" r:id="rId9"/>
      <w:footerReference w:type="default" r:id="rId10"/>
      <w:pgSz w:w="15840" w:h="1224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66538" w14:textId="77777777" w:rsidR="00345512" w:rsidRDefault="00345512">
      <w:pPr>
        <w:spacing w:line="240" w:lineRule="auto"/>
      </w:pPr>
      <w:r>
        <w:separator/>
      </w:r>
    </w:p>
  </w:endnote>
  <w:endnote w:type="continuationSeparator" w:id="0">
    <w:p w14:paraId="7B44AC95" w14:textId="77777777" w:rsidR="00345512" w:rsidRDefault="003455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AF162" w14:textId="77777777" w:rsidR="0094543B" w:rsidRDefault="0094543B">
    <w:pPr>
      <w:pBdr>
        <w:top w:val="nil"/>
        <w:left w:val="nil"/>
        <w:bottom w:val="nil"/>
        <w:right w:val="nil"/>
        <w:between w:val="nil"/>
      </w:pBdr>
      <w:tabs>
        <w:tab w:val="center" w:pos="4680"/>
        <w:tab w:val="right" w:pos="9360"/>
      </w:tabs>
      <w:spacing w:line="240" w:lineRule="auto"/>
      <w:jc w:val="right"/>
      <w:rPr>
        <w:color w:val="000000"/>
        <w:sz w:val="12"/>
        <w:szCs w:val="12"/>
      </w:rPr>
    </w:pPr>
  </w:p>
  <w:p w14:paraId="2BCB2CB2" w14:textId="77777777" w:rsidR="0094543B" w:rsidRDefault="008621C6">
    <w:pPr>
      <w:pBdr>
        <w:top w:val="nil"/>
        <w:left w:val="nil"/>
        <w:bottom w:val="nil"/>
        <w:right w:val="nil"/>
        <w:between w:val="nil"/>
      </w:pBdr>
      <w:tabs>
        <w:tab w:val="center" w:pos="4680"/>
        <w:tab w:val="right" w:pos="9360"/>
        <w:tab w:val="left" w:pos="13395"/>
        <w:tab w:val="right" w:pos="14400"/>
      </w:tabs>
      <w:spacing w:line="240" w:lineRule="auto"/>
      <w:rPr>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t xml:space="preserve">Page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035D6D">
      <w:rPr>
        <w:b/>
        <w:noProof/>
        <w:color w:val="000000"/>
        <w:sz w:val="20"/>
        <w:szCs w:val="20"/>
      </w:rPr>
      <w:t>1</w:t>
    </w:r>
    <w:r>
      <w:rPr>
        <w:b/>
        <w:color w:val="000000"/>
        <w:sz w:val="20"/>
        <w:szCs w:val="20"/>
      </w:rPr>
      <w:fldChar w:fldCharType="end"/>
    </w:r>
    <w:r>
      <w:rPr>
        <w:color w:val="000000"/>
        <w:sz w:val="20"/>
        <w:szCs w:val="20"/>
      </w:rPr>
      <w:t xml:space="preserve"> of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035D6D">
      <w:rPr>
        <w:b/>
        <w:noProof/>
        <w:color w:val="000000"/>
        <w:sz w:val="20"/>
        <w:szCs w:val="20"/>
      </w:rPr>
      <w:t>2</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2256E" w14:textId="77777777" w:rsidR="00345512" w:rsidRDefault="00345512">
      <w:pPr>
        <w:spacing w:line="240" w:lineRule="auto"/>
      </w:pPr>
      <w:r>
        <w:separator/>
      </w:r>
    </w:p>
  </w:footnote>
  <w:footnote w:type="continuationSeparator" w:id="0">
    <w:p w14:paraId="10AECE31" w14:textId="77777777" w:rsidR="00345512" w:rsidRDefault="0034551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3FE14" w14:textId="77777777" w:rsidR="0094543B" w:rsidRDefault="008621C6">
    <w:pPr>
      <w:pBdr>
        <w:top w:val="nil"/>
        <w:left w:val="nil"/>
        <w:bottom w:val="nil"/>
        <w:right w:val="nil"/>
        <w:between w:val="nil"/>
      </w:pBdr>
      <w:tabs>
        <w:tab w:val="center" w:pos="4680"/>
        <w:tab w:val="right" w:pos="9360"/>
      </w:tabs>
      <w:spacing w:line="240" w:lineRule="auto"/>
      <w:jc w:val="center"/>
      <w:rPr>
        <w:b/>
        <w:smallCaps/>
        <w:color w:val="000000"/>
        <w:u w:val="single"/>
      </w:rPr>
    </w:pPr>
    <w:r>
      <w:rPr>
        <w:b/>
        <w:smallCaps/>
        <w:color w:val="000000"/>
        <w:u w:val="single"/>
      </w:rPr>
      <w:t>RFP 22-70621 Clarifications</w:t>
    </w:r>
  </w:p>
  <w:p w14:paraId="67871E34" w14:textId="77777777" w:rsidR="0094543B" w:rsidRDefault="0094543B">
    <w:pPr>
      <w:pBdr>
        <w:top w:val="nil"/>
        <w:left w:val="nil"/>
        <w:bottom w:val="nil"/>
        <w:right w:val="nil"/>
        <w:between w:val="nil"/>
      </w:pBdr>
      <w:tabs>
        <w:tab w:val="center" w:pos="4680"/>
        <w:tab w:val="right" w:pos="9360"/>
      </w:tabs>
      <w:spacing w:line="240" w:lineRule="auto"/>
      <w:jc w:val="center"/>
      <w:rPr>
        <w:b/>
        <w:color w:val="000000"/>
        <w:sz w:val="12"/>
        <w:szCs w:val="12"/>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43B"/>
    <w:rsid w:val="00010143"/>
    <w:rsid w:val="00035D6D"/>
    <w:rsid w:val="000377F3"/>
    <w:rsid w:val="000A46EA"/>
    <w:rsid w:val="000D1E06"/>
    <w:rsid w:val="00112920"/>
    <w:rsid w:val="00163870"/>
    <w:rsid w:val="001A678E"/>
    <w:rsid w:val="001C6322"/>
    <w:rsid w:val="001E3C74"/>
    <w:rsid w:val="001F18A3"/>
    <w:rsid w:val="001F7AF2"/>
    <w:rsid w:val="0024213E"/>
    <w:rsid w:val="002506BF"/>
    <w:rsid w:val="00252375"/>
    <w:rsid w:val="00263A8F"/>
    <w:rsid w:val="00290879"/>
    <w:rsid w:val="002F33FA"/>
    <w:rsid w:val="00314702"/>
    <w:rsid w:val="00345512"/>
    <w:rsid w:val="00347A75"/>
    <w:rsid w:val="00373190"/>
    <w:rsid w:val="003C1092"/>
    <w:rsid w:val="00415FEF"/>
    <w:rsid w:val="0046686F"/>
    <w:rsid w:val="004A11A4"/>
    <w:rsid w:val="004C4439"/>
    <w:rsid w:val="004E45B5"/>
    <w:rsid w:val="00523199"/>
    <w:rsid w:val="0052641E"/>
    <w:rsid w:val="00596295"/>
    <w:rsid w:val="005A09B6"/>
    <w:rsid w:val="005B4E8E"/>
    <w:rsid w:val="005C10CB"/>
    <w:rsid w:val="00653659"/>
    <w:rsid w:val="00691604"/>
    <w:rsid w:val="006A0308"/>
    <w:rsid w:val="006C5651"/>
    <w:rsid w:val="006C7BA8"/>
    <w:rsid w:val="006D2138"/>
    <w:rsid w:val="006E1CC4"/>
    <w:rsid w:val="007509FB"/>
    <w:rsid w:val="00754581"/>
    <w:rsid w:val="0075608D"/>
    <w:rsid w:val="007D6F23"/>
    <w:rsid w:val="007E1099"/>
    <w:rsid w:val="007F3DE7"/>
    <w:rsid w:val="0084466B"/>
    <w:rsid w:val="008621C6"/>
    <w:rsid w:val="00863A8C"/>
    <w:rsid w:val="00872C19"/>
    <w:rsid w:val="008901EF"/>
    <w:rsid w:val="008A3BC9"/>
    <w:rsid w:val="008A5941"/>
    <w:rsid w:val="008D4993"/>
    <w:rsid w:val="009415DC"/>
    <w:rsid w:val="0094543B"/>
    <w:rsid w:val="00974946"/>
    <w:rsid w:val="009905F8"/>
    <w:rsid w:val="009B3EF0"/>
    <w:rsid w:val="00A019B9"/>
    <w:rsid w:val="00A741AD"/>
    <w:rsid w:val="00AA20B8"/>
    <w:rsid w:val="00AF2355"/>
    <w:rsid w:val="00B0058F"/>
    <w:rsid w:val="00B0102C"/>
    <w:rsid w:val="00B06703"/>
    <w:rsid w:val="00BB1CFC"/>
    <w:rsid w:val="00BD0812"/>
    <w:rsid w:val="00BD6F23"/>
    <w:rsid w:val="00C15CB2"/>
    <w:rsid w:val="00C17F71"/>
    <w:rsid w:val="00C26466"/>
    <w:rsid w:val="00C423D6"/>
    <w:rsid w:val="00C52048"/>
    <w:rsid w:val="00C77353"/>
    <w:rsid w:val="00C77C15"/>
    <w:rsid w:val="00C902B8"/>
    <w:rsid w:val="00CD09C6"/>
    <w:rsid w:val="00CF12C3"/>
    <w:rsid w:val="00CF2299"/>
    <w:rsid w:val="00D64E33"/>
    <w:rsid w:val="00DC72ED"/>
    <w:rsid w:val="00EA134B"/>
    <w:rsid w:val="00EA7224"/>
    <w:rsid w:val="00EA7F48"/>
    <w:rsid w:val="00EB1672"/>
    <w:rsid w:val="00EB5FA5"/>
    <w:rsid w:val="00EC39D4"/>
    <w:rsid w:val="00F061A5"/>
    <w:rsid w:val="00F56C66"/>
    <w:rsid w:val="00F73993"/>
    <w:rsid w:val="00FE28EF"/>
    <w:rsid w:val="00FE32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62F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D38"/>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132878"/>
    <w:pPr>
      <w:tabs>
        <w:tab w:val="center" w:pos="4680"/>
        <w:tab w:val="right" w:pos="9360"/>
      </w:tabs>
      <w:spacing w:line="240" w:lineRule="auto"/>
    </w:pPr>
  </w:style>
  <w:style w:type="character" w:customStyle="1" w:styleId="HeaderChar">
    <w:name w:val="Header Char"/>
    <w:basedOn w:val="DefaultParagraphFont"/>
    <w:link w:val="Header"/>
    <w:uiPriority w:val="99"/>
    <w:rsid w:val="00132878"/>
  </w:style>
  <w:style w:type="paragraph" w:styleId="Footer">
    <w:name w:val="footer"/>
    <w:basedOn w:val="Normal"/>
    <w:link w:val="FooterChar"/>
    <w:uiPriority w:val="99"/>
    <w:unhideWhenUsed/>
    <w:rsid w:val="00132878"/>
    <w:pPr>
      <w:tabs>
        <w:tab w:val="center" w:pos="4680"/>
        <w:tab w:val="right" w:pos="9360"/>
      </w:tabs>
      <w:spacing w:line="240" w:lineRule="auto"/>
    </w:pPr>
  </w:style>
  <w:style w:type="character" w:customStyle="1" w:styleId="FooterChar">
    <w:name w:val="Footer Char"/>
    <w:basedOn w:val="DefaultParagraphFont"/>
    <w:link w:val="Footer"/>
    <w:uiPriority w:val="99"/>
    <w:rsid w:val="00132878"/>
  </w:style>
  <w:style w:type="table" w:styleId="TableGrid">
    <w:name w:val="Table Grid"/>
    <w:basedOn w:val="TableNormal"/>
    <w:uiPriority w:val="39"/>
    <w:rsid w:val="002A0BA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7B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BC1"/>
    <w:rPr>
      <w:rFonts w:ascii="Segoe UI" w:hAnsi="Segoe UI" w:cs="Segoe UI"/>
      <w:sz w:val="18"/>
      <w:szCs w:val="18"/>
    </w:rPr>
  </w:style>
  <w:style w:type="paragraph" w:styleId="ListParagraph">
    <w:name w:val="List Paragraph"/>
    <w:basedOn w:val="Normal"/>
    <w:uiPriority w:val="34"/>
    <w:qFormat/>
    <w:rsid w:val="00C43DF7"/>
    <w:pPr>
      <w:ind w:left="720"/>
      <w:contextualSpacing/>
    </w:pPr>
  </w:style>
  <w:style w:type="character" w:styleId="CommentReference">
    <w:name w:val="annotation reference"/>
    <w:basedOn w:val="DefaultParagraphFont"/>
    <w:uiPriority w:val="99"/>
    <w:semiHidden/>
    <w:unhideWhenUsed/>
    <w:rsid w:val="00D574AE"/>
    <w:rPr>
      <w:sz w:val="16"/>
      <w:szCs w:val="16"/>
    </w:rPr>
  </w:style>
  <w:style w:type="paragraph" w:styleId="CommentText">
    <w:name w:val="annotation text"/>
    <w:basedOn w:val="Normal"/>
    <w:link w:val="CommentTextChar"/>
    <w:uiPriority w:val="99"/>
    <w:semiHidden/>
    <w:unhideWhenUsed/>
    <w:rsid w:val="00D574AE"/>
    <w:pPr>
      <w:spacing w:line="240" w:lineRule="auto"/>
    </w:pPr>
    <w:rPr>
      <w:sz w:val="20"/>
    </w:rPr>
  </w:style>
  <w:style w:type="character" w:customStyle="1" w:styleId="CommentTextChar">
    <w:name w:val="Comment Text Char"/>
    <w:basedOn w:val="DefaultParagraphFont"/>
    <w:link w:val="CommentText"/>
    <w:uiPriority w:val="99"/>
    <w:semiHidden/>
    <w:rsid w:val="00D574AE"/>
    <w:rPr>
      <w:sz w:val="20"/>
    </w:rPr>
  </w:style>
  <w:style w:type="paragraph" w:styleId="CommentSubject">
    <w:name w:val="annotation subject"/>
    <w:basedOn w:val="CommentText"/>
    <w:next w:val="CommentText"/>
    <w:link w:val="CommentSubjectChar"/>
    <w:uiPriority w:val="99"/>
    <w:semiHidden/>
    <w:unhideWhenUsed/>
    <w:rsid w:val="00D574AE"/>
    <w:rPr>
      <w:b/>
      <w:bCs/>
    </w:rPr>
  </w:style>
  <w:style w:type="character" w:customStyle="1" w:styleId="CommentSubjectChar">
    <w:name w:val="Comment Subject Char"/>
    <w:basedOn w:val="CommentTextChar"/>
    <w:link w:val="CommentSubject"/>
    <w:uiPriority w:val="99"/>
    <w:semiHidden/>
    <w:rsid w:val="00D574AE"/>
    <w:rPr>
      <w:b/>
      <w:bCs/>
      <w:sz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Pr>
  </w:style>
  <w:style w:type="table" w:customStyle="1" w:styleId="a0">
    <w:basedOn w:val="TableNormal"/>
    <w:pPr>
      <w:spacing w:line="240" w:lineRule="auto"/>
    </w:pPr>
    <w:tblPr>
      <w:tblStyleRowBandSize w:val="1"/>
      <w:tblStyleColBandSize w:val="1"/>
    </w:tblPr>
  </w:style>
  <w:style w:type="paragraph" w:styleId="Revision">
    <w:name w:val="Revision"/>
    <w:hidden/>
    <w:uiPriority w:val="99"/>
    <w:semiHidden/>
    <w:rsid w:val="007D6F23"/>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606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gdozWWYnqZZ9MBOuDq7MsQ8ypyHQ==">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</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DE306AC54AF6AB4FB4DDE3300767DDE2" ma:contentTypeVersion="11" ma:contentTypeDescription="Create a new document." ma:contentTypeScope="" ma:versionID="e30f17ee688533525434e4d0d3c49279">
  <xsd:schema xmlns:xsd="http://www.w3.org/2001/XMLSchema" xmlns:xs="http://www.w3.org/2001/XMLSchema" xmlns:p="http://schemas.microsoft.com/office/2006/metadata/properties" xmlns:ns2="13982626-5837-4194-9999-b4f9ccea9de4" xmlns:ns3="c506cedc-400a-42c5-9486-a0adc8ac9edd" xmlns:ns4="ddb5066c-6899-482b-9ea0-5145f9da9989" targetNamespace="http://schemas.microsoft.com/office/2006/metadata/properties" ma:root="true" ma:fieldsID="3aa9c647f862b3821a93fe7d64f3fb00" ns2:_="" ns3:_="" ns4:_="">
    <xsd:import namespace="13982626-5837-4194-9999-b4f9ccea9de4"/>
    <xsd:import namespace="c506cedc-400a-42c5-9486-a0adc8ac9edd"/>
    <xsd:import namespace="ddb5066c-6899-482b-9ea0-5145f9da998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82626-5837-4194-9999-b4f9ccea9d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506cedc-400a-42c5-9486-a0adc8ac9e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db5066c-6899-482b-9ea0-5145f9da998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30bb22c-37b0-45e4-8796-2da9bd6ca82a}" ma:internalName="TaxCatchAll" ma:showField="CatchAllData" ma:web="c506cedc-400a-42c5-9486-a0adc8ac9e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9FE322-6389-4F9B-B5BC-E667F458ED7E}">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05920092-BE17-43CD-BA23-F2CB88A441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82626-5837-4194-9999-b4f9ccea9de4"/>
    <ds:schemaRef ds:uri="c506cedc-400a-42c5-9486-a0adc8ac9edd"/>
    <ds:schemaRef ds:uri="ddb5066c-6899-482b-9ea0-5145f9da99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1237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2022-08-24T20:38:00Z</dcterms:created>
  <dcterms:modified xsi:type="dcterms:W3CDTF">2022-08-24T20:38:00Z</dcterms:modified>
</cp:coreProperties>
</file>